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Agency Overview</w:t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1"/>
        </w:trP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Agency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 of Agency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(List All)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Info for Agency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(Phone and Website)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CEO or Executive Director</w:t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Mission Statement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rHeight w:val="485.9765625" w:hRule="atLeast"/>
          <w:tblHeader w:val="0"/>
        </w:trP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Services Provided</w:t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Financial Overview</w:t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Fiscal Year (MM/DD to MM/DD)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Budget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 of Activities in Lake County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Funding Sources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(Please keep this information confidential)</w:t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of Government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of Private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of Income Earned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Federal: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County: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u w:val="single"/>
          <w:rtl w:val="0"/>
        </w:rPr>
        <w:t xml:space="preserve">Membership Communications</w:t>
      </w:r>
      <w:r w:rsidDel="00000000" w:rsidR="00000000" w:rsidRPr="00000000">
        <w:rPr>
          <w:rtl w:val="0"/>
        </w:rPr>
        <w:t xml:space="preserve">: Please list individuals that apply to these questions: (Newsletter, event notifications, Circle platform, and access to our portal, RESPOND meetings)</w:t>
      </w:r>
    </w:p>
    <w:p w:rsidR="00000000" w:rsidDel="00000000" w:rsidP="00000000" w:rsidRDefault="00000000" w:rsidRPr="00000000" w14:paraId="0000003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  <w:t xml:space="preserve">Who should receive access to the AHS Member portal and Circle platform? Who should receive our newsletters? Who should receive event notifications? Who should participate in RESPOND meetings?</w:t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NOTE: RESPOND meetings are intended for frontline and social workers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Multiple People can join these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980"/>
        <w:gridCol w:w="1905"/>
        <w:gridCol w:w="1425"/>
        <w:gridCol w:w="1125"/>
        <w:gridCol w:w="1365"/>
        <w:gridCol w:w="1365"/>
        <w:gridCol w:w="1560"/>
        <w:tblGridChange w:id="0">
          <w:tblGrid>
            <w:gridCol w:w="1980"/>
            <w:gridCol w:w="1980"/>
            <w:gridCol w:w="1905"/>
            <w:gridCol w:w="1425"/>
            <w:gridCol w:w="1125"/>
            <w:gridCol w:w="1365"/>
            <w:gridCol w:w="1365"/>
            <w:gridCol w:w="15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8"/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Staff and Volunteers</w:t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Newsletters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Events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Member Portal &amp; Circle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Alliance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Membership Invoice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  <w:t xml:space="preserve">Version 3 Revised 9/22                                                                                      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>
        <w:b w:val="1"/>
        <w:sz w:val="32"/>
        <w:szCs w:val="32"/>
      </w:rPr>
    </w:pPr>
    <w:r w:rsidDel="00000000" w:rsidR="00000000" w:rsidRPr="00000000">
      <w:rPr/>
      <w:drawing>
        <wp:inline distB="114300" distT="114300" distL="114300" distR="114300">
          <wp:extent cx="1833563" cy="42686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4268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b w:val="1"/>
        <w:sz w:val="32"/>
        <w:szCs w:val="32"/>
        <w:rtl w:val="0"/>
      </w:rPr>
      <w:t xml:space="preserve">Alliance Member Information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